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157B6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3822DB" w:rsidP="00157B6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19050" t="0" r="0" b="0"/>
                  <wp:wrapNone/>
                  <wp:docPr id="2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37F0" w:rsidRDefault="000837F0" w:rsidP="00157B62">
            <w:pPr>
              <w:jc w:val="center"/>
              <w:rPr>
                <w:b/>
                <w:bCs/>
              </w:rPr>
            </w:pPr>
          </w:p>
          <w:p w:rsidR="000837F0" w:rsidRDefault="000837F0" w:rsidP="00157B62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157B6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157B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157B6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157B6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157B6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157B6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157B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157B6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157B62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157B6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636EAF">
      <w:pPr>
        <w:pBdr>
          <w:bottom w:val="single" w:sz="4" w:space="1" w:color="auto"/>
        </w:pBdr>
        <w:jc w:val="center"/>
      </w:pPr>
    </w:p>
    <w:p w:rsidR="000837F0" w:rsidRDefault="00896B05" w:rsidP="000837F0">
      <w:pPr>
        <w:jc w:val="center"/>
      </w:pPr>
      <w:r>
        <w:t xml:space="preserve">      </w:t>
      </w:r>
      <w:r w:rsidR="000837F0">
        <w:tab/>
      </w:r>
      <w:r w:rsidR="000837F0">
        <w:tab/>
      </w:r>
      <w:r w:rsidR="000837F0">
        <w:tab/>
      </w:r>
      <w:r w:rsidR="000837F0">
        <w:tab/>
      </w:r>
      <w:r w:rsidR="000837F0">
        <w:tab/>
      </w:r>
      <w:r w:rsidR="000837F0">
        <w:tab/>
      </w:r>
      <w:r w:rsidR="000837F0">
        <w:tab/>
      </w:r>
      <w:r w:rsidR="000837F0">
        <w:tab/>
      </w:r>
      <w:r>
        <w:t xml:space="preserve">                                            </w:t>
      </w:r>
      <w:r w:rsidR="00650D7B">
        <w:t xml:space="preserve"> №</w:t>
      </w:r>
      <w:r w:rsidR="00636EAF">
        <w:t xml:space="preserve"> 53-</w:t>
      </w:r>
      <w:r w:rsidR="000837F0">
        <w:t>п</w:t>
      </w:r>
    </w:p>
    <w:p w:rsidR="000837F0" w:rsidRDefault="003822DB" w:rsidP="000837F0">
      <w:r>
        <w:t xml:space="preserve">      </w:t>
      </w:r>
      <w:r w:rsidR="00636EAF">
        <w:t>17.08</w:t>
      </w:r>
      <w:r>
        <w:t>.2021</w:t>
      </w:r>
      <w:r w:rsidR="001D00D4">
        <w:t>г</w:t>
      </w:r>
    </w:p>
    <w:p w:rsidR="003822DB" w:rsidRPr="003822DB" w:rsidRDefault="00CF712B" w:rsidP="003822D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822DB" w:rsidRPr="003822DB">
        <w:rPr>
          <w:sz w:val="28"/>
          <w:szCs w:val="28"/>
        </w:rPr>
        <w:t xml:space="preserve"> осуществлении внутреннего финансового аудита</w:t>
      </w:r>
    </w:p>
    <w:p w:rsidR="003822DB" w:rsidRDefault="003822DB" w:rsidP="00382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Тюльганский поссовет</w:t>
      </w:r>
      <w:r w:rsidRPr="005A191F">
        <w:rPr>
          <w:b/>
          <w:bCs/>
          <w:sz w:val="28"/>
          <w:szCs w:val="28"/>
        </w:rPr>
        <w:t xml:space="preserve">  Тюльганск</w:t>
      </w:r>
      <w:r>
        <w:rPr>
          <w:b/>
          <w:bCs/>
          <w:sz w:val="28"/>
          <w:szCs w:val="28"/>
        </w:rPr>
        <w:t>ого района Оренбургской области</w:t>
      </w:r>
    </w:p>
    <w:p w:rsidR="000837F0" w:rsidRPr="003822DB" w:rsidRDefault="000837F0" w:rsidP="000837F0"/>
    <w:p w:rsidR="003822DB" w:rsidRDefault="003822DB" w:rsidP="003822DB">
      <w:pPr>
        <w:ind w:firstLine="567"/>
        <w:jc w:val="both"/>
        <w:rPr>
          <w:sz w:val="28"/>
          <w:szCs w:val="28"/>
        </w:rPr>
      </w:pPr>
      <w:r w:rsidRPr="00525F89">
        <w:rPr>
          <w:sz w:val="28"/>
          <w:szCs w:val="28"/>
        </w:rPr>
        <w:t>В соответствии с положениями статьи 160.2-1 Бюджетного кодекса Российской Федерации, приказа Министерства финансов Российской Федерации от 30 декабря 2016 года № 822 «Об утверждении методических рекомендаций по осуществлению внутреннего финансового аудита</w:t>
      </w:r>
      <w:r>
        <w:rPr>
          <w:sz w:val="28"/>
          <w:szCs w:val="28"/>
        </w:rPr>
        <w:t>.</w:t>
      </w:r>
    </w:p>
    <w:p w:rsidR="003822DB" w:rsidRPr="00525F89" w:rsidRDefault="00636EAF" w:rsidP="003822D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</w:t>
      </w:r>
      <w:r w:rsidR="003822DB">
        <w:rPr>
          <w:sz w:val="28"/>
          <w:szCs w:val="28"/>
        </w:rPr>
        <w:t>Ю</w:t>
      </w:r>
      <w:r w:rsidR="003822DB" w:rsidRPr="00525F89">
        <w:rPr>
          <w:sz w:val="28"/>
          <w:szCs w:val="28"/>
        </w:rPr>
        <w:t xml:space="preserve">: </w:t>
      </w:r>
    </w:p>
    <w:p w:rsidR="003822DB" w:rsidRPr="00525F89" w:rsidRDefault="003822DB" w:rsidP="003822DB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 w:rsidRPr="00525F89">
        <w:rPr>
          <w:b w:val="0"/>
          <w:sz w:val="28"/>
          <w:szCs w:val="28"/>
        </w:rPr>
        <w:t>1.Утвердить прилага</w:t>
      </w:r>
      <w:r w:rsidR="00087706">
        <w:rPr>
          <w:b w:val="0"/>
          <w:sz w:val="28"/>
          <w:szCs w:val="28"/>
        </w:rPr>
        <w:t xml:space="preserve">емое Положение об </w:t>
      </w:r>
      <w:r w:rsidRPr="00525F89">
        <w:rPr>
          <w:b w:val="0"/>
          <w:sz w:val="28"/>
          <w:szCs w:val="28"/>
        </w:rPr>
        <w:t>осуществлении внутреннего финансового аудита.</w:t>
      </w:r>
    </w:p>
    <w:p w:rsidR="003822DB" w:rsidRPr="00525F89" w:rsidRDefault="003822DB" w:rsidP="003822DB">
      <w:pPr>
        <w:ind w:firstLine="567"/>
        <w:jc w:val="both"/>
        <w:rPr>
          <w:sz w:val="28"/>
          <w:szCs w:val="28"/>
        </w:rPr>
      </w:pPr>
      <w:r w:rsidRPr="00525F89">
        <w:rPr>
          <w:bCs/>
          <w:sz w:val="28"/>
          <w:szCs w:val="28"/>
        </w:rPr>
        <w:t>2.Назначить</w:t>
      </w:r>
      <w:r>
        <w:rPr>
          <w:sz w:val="28"/>
          <w:szCs w:val="28"/>
        </w:rPr>
        <w:t xml:space="preserve"> Заместителя главы по финансово-экономическим вопросам Грачёву В.К.</w:t>
      </w:r>
      <w:r w:rsidRPr="00525F89">
        <w:rPr>
          <w:sz w:val="28"/>
          <w:szCs w:val="28"/>
        </w:rPr>
        <w:t xml:space="preserve"> должностным лицом, уполномоченным на осуществление внутреннего финансового аудита </w:t>
      </w:r>
      <w:r w:rsidRPr="00525F89">
        <w:rPr>
          <w:bCs/>
          <w:sz w:val="28"/>
          <w:szCs w:val="28"/>
        </w:rPr>
        <w:t xml:space="preserve">в администрации </w:t>
      </w:r>
    </w:p>
    <w:p w:rsidR="003822DB" w:rsidRDefault="003822DB" w:rsidP="003822DB">
      <w:pPr>
        <w:rPr>
          <w:sz w:val="28"/>
          <w:szCs w:val="28"/>
        </w:rPr>
      </w:pPr>
      <w:r>
        <w:rPr>
          <w:bCs/>
          <w:sz w:val="32"/>
          <w:szCs w:val="32"/>
        </w:rPr>
        <w:t xml:space="preserve">         3.</w:t>
      </w:r>
      <w:r w:rsidRPr="000F5B8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 со дня его подписания и подлежит официальному обнародованию на официальном сайте муниципального образования Тюльганский поссовет в сети «Интернет».</w:t>
      </w:r>
    </w:p>
    <w:p w:rsidR="003822DB" w:rsidRPr="00525F89" w:rsidRDefault="003822DB" w:rsidP="00382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F89">
        <w:rPr>
          <w:sz w:val="28"/>
          <w:szCs w:val="28"/>
        </w:rPr>
        <w:t>4.Контроль  исполнения настоящего постановления оставляю за собой.</w:t>
      </w:r>
    </w:p>
    <w:p w:rsidR="003822DB" w:rsidRDefault="003822DB" w:rsidP="003822DB">
      <w:pPr>
        <w:rPr>
          <w:bCs/>
          <w:sz w:val="32"/>
          <w:szCs w:val="32"/>
        </w:rPr>
      </w:pPr>
    </w:p>
    <w:p w:rsidR="003822DB" w:rsidRPr="00525F89" w:rsidRDefault="003822DB" w:rsidP="00382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2DB" w:rsidRPr="00525F89" w:rsidRDefault="003822DB" w:rsidP="003822DB">
      <w:pPr>
        <w:jc w:val="both"/>
        <w:rPr>
          <w:sz w:val="28"/>
          <w:szCs w:val="28"/>
        </w:rPr>
      </w:pPr>
    </w:p>
    <w:p w:rsidR="00D53FB4" w:rsidRPr="006016FC" w:rsidRDefault="00D53FB4" w:rsidP="00D53FB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left="709" w:right="5"/>
        <w:jc w:val="both"/>
        <w:rPr>
          <w:spacing w:val="-31"/>
          <w:sz w:val="28"/>
          <w:szCs w:val="28"/>
        </w:rPr>
      </w:pPr>
    </w:p>
    <w:p w:rsidR="003822DB" w:rsidRDefault="003822DB" w:rsidP="003822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22DB" w:rsidRDefault="003822DB" w:rsidP="003822D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3822DB" w:rsidRDefault="003822DB" w:rsidP="003822DB">
      <w:pPr>
        <w:jc w:val="both"/>
        <w:rPr>
          <w:sz w:val="28"/>
          <w:szCs w:val="28"/>
        </w:rPr>
      </w:pPr>
    </w:p>
    <w:p w:rsidR="00D53FB4" w:rsidRDefault="00D53FB4" w:rsidP="00D53FB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4"/>
          <w:sz w:val="28"/>
          <w:szCs w:val="28"/>
        </w:rPr>
      </w:pPr>
    </w:p>
    <w:p w:rsidR="00636EAF" w:rsidRDefault="00636EAF" w:rsidP="00D53FB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4"/>
          <w:sz w:val="28"/>
          <w:szCs w:val="28"/>
        </w:rPr>
      </w:pPr>
    </w:p>
    <w:p w:rsidR="00636EAF" w:rsidRPr="0081000D" w:rsidRDefault="00636EAF" w:rsidP="00D53FB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4"/>
          <w:sz w:val="28"/>
          <w:szCs w:val="28"/>
        </w:rPr>
      </w:pPr>
    </w:p>
    <w:p w:rsidR="00A625D0" w:rsidRDefault="00A625D0" w:rsidP="005A191F">
      <w:pPr>
        <w:rPr>
          <w:sz w:val="28"/>
          <w:szCs w:val="28"/>
        </w:rPr>
      </w:pPr>
    </w:p>
    <w:p w:rsidR="003822DB" w:rsidRPr="0021214E" w:rsidRDefault="003822DB" w:rsidP="003822DB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>, в дело.</w:t>
      </w:r>
    </w:p>
    <w:p w:rsidR="00A625D0" w:rsidRPr="000370E3" w:rsidRDefault="003822DB" w:rsidP="003822DB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C87CBC">
        <w:t xml:space="preserve">                                                                                              </w:t>
      </w:r>
      <w:r>
        <w:t xml:space="preserve">                   </w:t>
      </w:r>
    </w:p>
    <w:p w:rsidR="00CA09F2" w:rsidRDefault="00CA09F2" w:rsidP="00CA09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3790">
        <w:rPr>
          <w:sz w:val="28"/>
          <w:szCs w:val="28"/>
        </w:rPr>
        <w:t xml:space="preserve">                                                Приложение</w:t>
      </w:r>
    </w:p>
    <w:p w:rsidR="00CA09F2" w:rsidRDefault="00CA09F2" w:rsidP="005437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437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543790">
        <w:rPr>
          <w:sz w:val="28"/>
          <w:szCs w:val="28"/>
        </w:rPr>
        <w:t xml:space="preserve">             к  постановлению</w:t>
      </w:r>
    </w:p>
    <w:p w:rsidR="00CA09F2" w:rsidRDefault="00CA09F2" w:rsidP="00CA09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36EAF">
        <w:rPr>
          <w:sz w:val="28"/>
          <w:szCs w:val="28"/>
        </w:rPr>
        <w:t xml:space="preserve">                </w:t>
      </w:r>
      <w:r w:rsidR="00543790">
        <w:rPr>
          <w:sz w:val="28"/>
          <w:szCs w:val="28"/>
        </w:rPr>
        <w:t xml:space="preserve"> от </w:t>
      </w:r>
      <w:r w:rsidR="00636EAF">
        <w:rPr>
          <w:sz w:val="28"/>
          <w:szCs w:val="28"/>
        </w:rPr>
        <w:t>17.08</w:t>
      </w:r>
      <w:r w:rsidR="00543790">
        <w:rPr>
          <w:sz w:val="28"/>
          <w:szCs w:val="28"/>
        </w:rPr>
        <w:t xml:space="preserve">.2021 № </w:t>
      </w:r>
      <w:r w:rsidR="00636EAF">
        <w:rPr>
          <w:sz w:val="28"/>
          <w:szCs w:val="28"/>
        </w:rPr>
        <w:t xml:space="preserve">53 </w:t>
      </w:r>
      <w:r w:rsidR="00543790">
        <w:rPr>
          <w:sz w:val="28"/>
          <w:szCs w:val="28"/>
        </w:rPr>
        <w:t>-</w:t>
      </w:r>
      <w:proofErr w:type="gramStart"/>
      <w:r w:rsidR="00543790">
        <w:rPr>
          <w:sz w:val="28"/>
          <w:szCs w:val="28"/>
        </w:rPr>
        <w:t>п</w:t>
      </w:r>
      <w:proofErr w:type="gramEnd"/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087706" w:rsidP="00CA09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</w:t>
      </w:r>
      <w:r w:rsidR="00CA09F2">
        <w:rPr>
          <w:b/>
          <w:sz w:val="28"/>
          <w:szCs w:val="28"/>
        </w:rPr>
        <w:t xml:space="preserve">осуществлении </w:t>
      </w:r>
      <w:r w:rsidR="00CA09F2">
        <w:rPr>
          <w:b/>
          <w:bCs/>
          <w:sz w:val="28"/>
          <w:szCs w:val="28"/>
        </w:rPr>
        <w:t>внутреннего</w:t>
      </w:r>
    </w:p>
    <w:p w:rsidR="00CA09F2" w:rsidRDefault="00CA09F2" w:rsidP="00CA09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финансового аудита</w:t>
      </w:r>
    </w:p>
    <w:p w:rsidR="00CA09F2" w:rsidRDefault="00CA09F2" w:rsidP="00CA09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определяет цели, организацию и осуществление в администрации </w:t>
      </w:r>
      <w:r w:rsidR="00543790">
        <w:rPr>
          <w:sz w:val="28"/>
          <w:szCs w:val="28"/>
        </w:rPr>
        <w:t>Тюльганского поссовета  Тюльганского района Оренбургской области</w:t>
      </w:r>
      <w:r>
        <w:rPr>
          <w:bCs/>
          <w:sz w:val="28"/>
          <w:szCs w:val="28"/>
        </w:rPr>
        <w:t xml:space="preserve"> внутреннего финансового аудита.</w:t>
      </w:r>
    </w:p>
    <w:p w:rsidR="00CA09F2" w:rsidRDefault="00CA09F2" w:rsidP="00CA09F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Внутренний финансовый аудит</w:t>
      </w:r>
      <w:r w:rsidR="00543790" w:rsidRPr="00543790">
        <w:rPr>
          <w:bCs/>
          <w:sz w:val="28"/>
          <w:szCs w:val="28"/>
        </w:rPr>
        <w:t xml:space="preserve"> </w:t>
      </w:r>
      <w:r w:rsidR="00543790">
        <w:rPr>
          <w:bCs/>
          <w:sz w:val="28"/>
          <w:szCs w:val="28"/>
        </w:rPr>
        <w:t xml:space="preserve">администрации </w:t>
      </w:r>
      <w:r w:rsidR="00543790">
        <w:rPr>
          <w:sz w:val="28"/>
          <w:szCs w:val="28"/>
        </w:rPr>
        <w:t>Тюльганского поссовета  Тюльганского района Оренбургской области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осуществляется должностным лицом, наделенным полномочиями по осуществлению внутрен</w:t>
      </w:r>
      <w:r w:rsidR="00543790">
        <w:rPr>
          <w:bCs/>
          <w:sz w:val="28"/>
          <w:szCs w:val="28"/>
        </w:rPr>
        <w:t>него финансового аудита.</w:t>
      </w:r>
      <w:r>
        <w:rPr>
          <w:bCs/>
          <w:sz w:val="28"/>
          <w:szCs w:val="28"/>
        </w:rPr>
        <w:t xml:space="preserve"> </w:t>
      </w:r>
    </w:p>
    <w:p w:rsidR="00CA09F2" w:rsidRDefault="00CA09F2" w:rsidP="00CA09F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подчиняется непосредственно и </w:t>
      </w:r>
      <w:r>
        <w:rPr>
          <w:color w:val="000000"/>
          <w:sz w:val="28"/>
          <w:szCs w:val="28"/>
        </w:rPr>
        <w:t xml:space="preserve">исключительно Главе </w:t>
      </w:r>
      <w:r w:rsidR="00543790">
        <w:rPr>
          <w:sz w:val="28"/>
          <w:szCs w:val="28"/>
        </w:rPr>
        <w:t xml:space="preserve">поссовета Тюльганского района </w:t>
      </w:r>
      <w:r w:rsidR="00543790">
        <w:rPr>
          <w:color w:val="000000"/>
          <w:sz w:val="28"/>
          <w:szCs w:val="28"/>
        </w:rPr>
        <w:t xml:space="preserve"> Оренбургской </w:t>
      </w:r>
      <w:r>
        <w:rPr>
          <w:color w:val="000000"/>
          <w:sz w:val="28"/>
          <w:szCs w:val="28"/>
        </w:rPr>
        <w:t>области.</w:t>
      </w:r>
      <w:r>
        <w:rPr>
          <w:color w:val="FF0000"/>
          <w:sz w:val="28"/>
          <w:szCs w:val="28"/>
        </w:rPr>
        <w:t xml:space="preserve"> </w:t>
      </w:r>
    </w:p>
    <w:p w:rsidR="00CA09F2" w:rsidRDefault="00CA09F2" w:rsidP="0054379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организацию внутреннего финансового аудита несет руководитель главного администратора бюджетных средств, администратора бюджетных средств - </w:t>
      </w:r>
      <w:r>
        <w:rPr>
          <w:sz w:val="28"/>
          <w:szCs w:val="28"/>
        </w:rPr>
        <w:t xml:space="preserve">Глава </w:t>
      </w:r>
      <w:r w:rsidR="00543790">
        <w:rPr>
          <w:sz w:val="28"/>
          <w:szCs w:val="28"/>
        </w:rPr>
        <w:t>Тюльганского поссовета</w:t>
      </w:r>
      <w:proofErr w:type="gramStart"/>
      <w:r w:rsidR="00543790">
        <w:rPr>
          <w:sz w:val="28"/>
          <w:szCs w:val="28"/>
        </w:rPr>
        <w:t xml:space="preserve"> .</w:t>
      </w:r>
      <w:proofErr w:type="gramEnd"/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Объектом внутреннего финансового аудита являет</w:t>
      </w:r>
      <w:r w:rsidR="00543790">
        <w:rPr>
          <w:sz w:val="28"/>
          <w:szCs w:val="28"/>
        </w:rPr>
        <w:t xml:space="preserve">ся администрация Тюльганского поссовета Тюльганского района Оренбургской </w:t>
      </w:r>
      <w:r>
        <w:rPr>
          <w:sz w:val="28"/>
          <w:szCs w:val="28"/>
        </w:rPr>
        <w:t xml:space="preserve"> области, подведомственные ей администраторы бюджетных средств и получатели бюджетных средств (далее - объекты аудита).</w:t>
      </w:r>
    </w:p>
    <w:p w:rsidR="00CA09F2" w:rsidRDefault="00CA09F2" w:rsidP="00CA09F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Целями внутреннего финансового аудита, осуществляемого субъектом аудита, являются: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оценка надежности внутреннего финансового контроля и подготовка рекомендаций по повышению его эффективности;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подготовка предложений о повышении экономности и результативности </w:t>
      </w:r>
      <w:r w:rsidR="00543790">
        <w:rPr>
          <w:sz w:val="28"/>
          <w:szCs w:val="28"/>
        </w:rPr>
        <w:t>использования средств местного</w:t>
      </w:r>
      <w:r>
        <w:rPr>
          <w:sz w:val="28"/>
          <w:szCs w:val="28"/>
        </w:rPr>
        <w:t xml:space="preserve"> бюджета.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Аудиторские проверки в зависимости от их характера, объема, а также сложности и специфики деятельности объектов аудита проводятся:</w:t>
      </w:r>
    </w:p>
    <w:p w:rsidR="00CA09F2" w:rsidRDefault="00CA09F2" w:rsidP="00CA09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должностным лицом (специалистом) субъекта аудита (далее - </w:t>
      </w:r>
      <w:proofErr w:type="gramStart"/>
      <w:r>
        <w:rPr>
          <w:bCs/>
          <w:sz w:val="28"/>
          <w:szCs w:val="28"/>
        </w:rPr>
        <w:t>проверяющий</w:t>
      </w:r>
      <w:proofErr w:type="gramEnd"/>
      <w:r>
        <w:rPr>
          <w:bCs/>
          <w:sz w:val="28"/>
          <w:szCs w:val="28"/>
        </w:rPr>
        <w:t>);</w:t>
      </w:r>
    </w:p>
    <w:p w:rsidR="00CA09F2" w:rsidRDefault="00CA09F2" w:rsidP="00CA09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группой должностных лиц (специалистов) субъекта аудита, обладающих необходимыми профессиональными знаниями и навыками (далее - аудиторская группа), под руководством должностного лица (специалиста), назначенного распоряжением Главы </w:t>
      </w:r>
      <w:r w:rsidR="00FD525D">
        <w:rPr>
          <w:sz w:val="28"/>
          <w:szCs w:val="28"/>
        </w:rPr>
        <w:t>поссовета</w:t>
      </w:r>
      <w:r>
        <w:rPr>
          <w:bCs/>
          <w:sz w:val="28"/>
          <w:szCs w:val="28"/>
        </w:rPr>
        <w:t xml:space="preserve">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диторской проверки ответственным за проведение аудиторской проверки (далее - руководитель аудиторской группы).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Деятельность уполномоченного должностного лица основывается на принципах законности, объективности, эффективности, независимости и профессиональной компетентности, а также системности и ответственности.   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целях обеспечения принципа независимости аудиторские проверки  организовываются и осуществляются должностными лицами, которые:</w:t>
      </w:r>
    </w:p>
    <w:p w:rsidR="00CA09F2" w:rsidRDefault="00CA09F2" w:rsidP="00CA09F2">
      <w:pPr>
        <w:pStyle w:val="ab"/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принимают участие в организации и выполнении проверяемых внутренних бюджетных процедур объекта аудита в текущем периоде;</w:t>
      </w:r>
    </w:p>
    <w:p w:rsidR="00CA09F2" w:rsidRDefault="00CA09F2" w:rsidP="00CA09F2">
      <w:pPr>
        <w:pStyle w:val="ab"/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принимали участие в организации и выполнении проверяемых внутренних бюджетных процедур объекта аудита в течение проверяемого периода и года, предшествующего проверяемому периоду;</w:t>
      </w:r>
    </w:p>
    <w:p w:rsidR="00CA09F2" w:rsidRDefault="00CA09F2" w:rsidP="00CA09F2">
      <w:pPr>
        <w:pStyle w:val="ab"/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родства или свойства с руководителем и другими должностными лицами главного администратора бюджетных средств, администратора бюджетных средств, организующими и выполняющими проверяемые внутренние бюджетные процедуры;</w:t>
      </w:r>
    </w:p>
    <w:p w:rsidR="00CA09F2" w:rsidRDefault="00CA09F2" w:rsidP="00CA09F2">
      <w:pPr>
        <w:pStyle w:val="ab"/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иного конфликта интересов, создающего угрозу способности беспристрастно и объективно выполнять обязанности в ходе аудиторской проверки.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Запрос вручается руководителю (уполномоченному им лицу) объекта аудита под роспись до начала аудиторской проверки либо в ходе проведения аудиторской проверки по мере необходимости уточнения вопросов, касающихся темы аудиторской проверки, но не позднее 3 рабочих дней до окончания срока проведения аудиторской проверки.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объектами аудита запросов осуществляется не позднее окончания срока проведения аудиторской проверки на объекте аудита. Документы, материалы и информация, необходимые для проведения аудиторской проверки, представляются в подлиннике или копиях, заверенных объектами аудита, в сроки, указанные в запросе. В случае если срок представления не указан в запросе, документы, материалы и информация представляются в течение трех рабочих дней со дня поступления запроса в адрес объекта аудита.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фактам непредставления или несвоевременного представления объектом аудита информации, документов и материалов, запрошенных при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диторской проверки, руководитель аудиторской группы (проверяющий) составляет акт.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 на запрос может быть направлен объектом аудита в письменной форме с приложением необходимых подлинников или копий документов, заверенных объектом аудита.</w:t>
      </w:r>
    </w:p>
    <w:p w:rsidR="00CA09F2" w:rsidRDefault="00FD525D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A09F2">
        <w:rPr>
          <w:bCs/>
          <w:sz w:val="28"/>
          <w:szCs w:val="28"/>
        </w:rPr>
        <w:t xml:space="preserve">. Аудиторские проверки проводятся на основании программы аудиторской проверки, которая утверждается Главой </w:t>
      </w:r>
      <w:r>
        <w:rPr>
          <w:sz w:val="28"/>
          <w:szCs w:val="28"/>
        </w:rPr>
        <w:t xml:space="preserve">Тюльганского поссовета </w:t>
      </w:r>
      <w:r w:rsidR="00CA09F2">
        <w:rPr>
          <w:bCs/>
          <w:sz w:val="28"/>
          <w:szCs w:val="28"/>
        </w:rPr>
        <w:t>не позднее 5 рабочих дней до начала аудиторской проверки.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Программа аудиторской проверки должна содержать: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тему аудиторской проверки;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объектов аудита;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перечень вопросов, подлежащих изучению в ходе аудиторской проверки;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Составление, утверждение, ведение Плана осуществляется в соответствии с Порядком составления, утверждения и ведения годового плана внутреннего финансового аудита согласно </w:t>
      </w:r>
      <w:hyperlink r:id="rId9" w:history="1">
        <w:r w:rsidRPr="0034427C">
          <w:rPr>
            <w:rStyle w:val="a6"/>
            <w:bCs/>
            <w:i/>
            <w:sz w:val="28"/>
            <w:szCs w:val="28"/>
            <w:u w:val="none"/>
          </w:rPr>
          <w:t>приложению № 1</w:t>
        </w:r>
      </w:hyperlink>
      <w:r>
        <w:rPr>
          <w:bCs/>
          <w:sz w:val="28"/>
          <w:szCs w:val="28"/>
        </w:rPr>
        <w:t xml:space="preserve"> к настоящему Положению.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11. Проект Плана на очередной финансовый год представляется на утверждение Главе </w:t>
      </w:r>
      <w:r w:rsidR="00FD525D">
        <w:rPr>
          <w:sz w:val="28"/>
          <w:szCs w:val="28"/>
        </w:rPr>
        <w:t>Тюльганского поссовета Тюльганского района Оренбургской области</w:t>
      </w:r>
      <w:r>
        <w:rPr>
          <w:bCs/>
          <w:sz w:val="28"/>
          <w:szCs w:val="28"/>
        </w:rPr>
        <w:t xml:space="preserve"> не позднее 15 декабря текущего года.</w:t>
      </w:r>
    </w:p>
    <w:p w:rsidR="00CA09F2" w:rsidRDefault="00FD525D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Par40"/>
      <w:bookmarkStart w:id="1" w:name="Par43"/>
      <w:bookmarkEnd w:id="0"/>
      <w:bookmarkEnd w:id="1"/>
      <w:r>
        <w:rPr>
          <w:bCs/>
          <w:sz w:val="28"/>
          <w:szCs w:val="28"/>
        </w:rPr>
        <w:t>12</w:t>
      </w:r>
      <w:r w:rsidR="00CA09F2">
        <w:rPr>
          <w:bCs/>
          <w:sz w:val="28"/>
          <w:szCs w:val="28"/>
        </w:rPr>
        <w:t xml:space="preserve">. Аудиторская проверка назначается распоряжением Главы </w:t>
      </w:r>
      <w:r>
        <w:rPr>
          <w:sz w:val="28"/>
          <w:szCs w:val="28"/>
        </w:rPr>
        <w:t>Тюльганского поссовета Тюльганского района Оренбургской области</w:t>
      </w:r>
      <w:proofErr w:type="gramStart"/>
      <w:r>
        <w:rPr>
          <w:sz w:val="28"/>
          <w:szCs w:val="28"/>
        </w:rPr>
        <w:t xml:space="preserve"> </w:t>
      </w:r>
      <w:r w:rsidR="00CA09F2">
        <w:rPr>
          <w:bCs/>
          <w:sz w:val="28"/>
          <w:szCs w:val="28"/>
        </w:rPr>
        <w:t>,</w:t>
      </w:r>
      <w:proofErr w:type="gramEnd"/>
      <w:r w:rsidR="00CA09F2">
        <w:rPr>
          <w:bCs/>
          <w:sz w:val="28"/>
          <w:szCs w:val="28"/>
        </w:rPr>
        <w:t xml:space="preserve"> в котором указывается наименование объекта аудита, вид аудиторской проверки, проверяемый период</w:t>
      </w:r>
      <w:r>
        <w:rPr>
          <w:bCs/>
          <w:sz w:val="28"/>
          <w:szCs w:val="28"/>
        </w:rPr>
        <w:t>, основание проведения</w:t>
      </w:r>
      <w:r w:rsidR="00CA09F2">
        <w:rPr>
          <w:bCs/>
          <w:sz w:val="28"/>
          <w:szCs w:val="28"/>
        </w:rPr>
        <w:t>, срок проведения аудиторской проверки, срок представления отчета о результатах аудиторской проверки.</w:t>
      </w:r>
    </w:p>
    <w:p w:rsidR="00CA09F2" w:rsidRDefault="00FD525D" w:rsidP="00CA09F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CA09F2">
        <w:rPr>
          <w:bCs/>
          <w:sz w:val="28"/>
          <w:szCs w:val="28"/>
        </w:rPr>
        <w:t xml:space="preserve">. </w:t>
      </w:r>
      <w:r w:rsidR="00CA09F2">
        <w:rPr>
          <w:sz w:val="28"/>
          <w:szCs w:val="28"/>
        </w:rPr>
        <w:t>В целях оценки надежности внутреннего финансового контроля в ходе аудиторских проверок изучаются: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и полнота нормативного регулирования вопросов организации и осуществления внутреннего финансового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ответственности должностных лиц главного администратора (администратора) бюджетных средств за организацию внутреннего финансового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специализированного прикладного программного обеспечение в целях автоматизации внутреннего финансового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перечни операций (действий по формированию документов, необходимых для выполнения внутренней бюджетной процедуры) администрации главного администратора (администратора) бюджетных средств, ответственной за выполнение внутренних бюджетных процедур;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внутреннего финансового контроля, в том числе применяемые критерии отбора операций (действий по формированию  документов, необходимых для выполнения внутренних бюджетных процедур) для их включения в карты внутреннего финансового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бюджетных рисков в администрации главного администратора (администратора) бюджетных средств, ответственной за выполнение внутренних бюджетных процедур, при принятии решения о включении операций из перечня операций в карту внутреннего финансового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квалификационных требований к профессиональным знаниям, навыкам и опыту работы, необходимым для исполнения должностных обязанностей сотрудников, организующих и осуществляющих внутренние бюджетные процедуры, указанных в должностных регламентах, соответствие их квалификации установленным требованиям;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администрации, осуществляющей внутренние бюджетные процедуры;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между сотрудниками обязанностей по осуществлению внутренних бюджетных процедур и ответственности за их результаты;</w:t>
      </w:r>
    </w:p>
    <w:p w:rsidR="00CA09F2" w:rsidRDefault="00CA09F2" w:rsidP="00CA09F2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сотрудников информации, необходимой для выполнения внутренних бюджетных процедур;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результатов внутреннего финансового контроля при принятии решений о стимулировании сотрудников или применении к ним мер ответственности;</w:t>
      </w:r>
    </w:p>
    <w:p w:rsidR="00CA09F2" w:rsidRDefault="00CA09F2" w:rsidP="00CA09F2">
      <w:p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заполнения журналов (регистров) внутреннего финансового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результатов проведения контрольных мероприятий органов государственного (муниципального) финансового контроля и результатов проведения аудиторских проверок при формировании (актуализации) карт внутреннего финансового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операций (действий по формированию документов, необходимых для выполнения внутренних бюджетных процедур), в отношении которых контрольные действия не осуществлялись, с указанием обоснований отсутствия такого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контрольных действий, выполненных более чем один раз, и не имеющих результатов контроля;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излишних операций (действий по формированию документов, необходимых для выполнения внутренних бюджетных процедур) и (или) излишних применяемых контрольных действий;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реализации объектом аудита предложений и рекомендаций по результатам ранее проведенных аудиторских проверок.</w:t>
      </w:r>
    </w:p>
    <w:p w:rsidR="00CA09F2" w:rsidRDefault="00C6025B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A09F2">
        <w:rPr>
          <w:bCs/>
          <w:sz w:val="28"/>
          <w:szCs w:val="28"/>
        </w:rPr>
        <w:t>. Выводы и предложения, сделанные по результатам аудиторской проверки, должны основываться на достаточных фактических данных и достоверной информации, подтверждающих выявленные в ходе аудиторской проверки нарушения и недостатки.</w:t>
      </w:r>
    </w:p>
    <w:p w:rsidR="00CA09F2" w:rsidRDefault="00C6025B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CA09F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Уполномоченный аудитор</w:t>
      </w:r>
      <w:r w:rsidR="00CA09F2">
        <w:rPr>
          <w:bCs/>
          <w:sz w:val="28"/>
          <w:szCs w:val="28"/>
        </w:rPr>
        <w:t xml:space="preserve"> при проведе</w:t>
      </w:r>
      <w:r>
        <w:rPr>
          <w:bCs/>
          <w:sz w:val="28"/>
          <w:szCs w:val="28"/>
        </w:rPr>
        <w:t>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диторских проверок обязан</w:t>
      </w:r>
      <w:r w:rsidR="00CA09F2">
        <w:rPr>
          <w:bCs/>
          <w:sz w:val="28"/>
          <w:szCs w:val="28"/>
        </w:rPr>
        <w:t>:</w:t>
      </w:r>
    </w:p>
    <w:p w:rsidR="00CA09F2" w:rsidRDefault="00CA09F2" w:rsidP="00CA09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проводить аудиторские проверки в соответствии с программой аудиторской проверки;</w:t>
      </w:r>
    </w:p>
    <w:p w:rsidR="00CA09F2" w:rsidRDefault="00CA09F2" w:rsidP="00CA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знакомить руководителя или уполномоченное должностное лицо объекта аудита (далее – представитель объекта аудита) с программой аудиторской проверки, а также с результатами аудиторских проверок (актами и заключениями).</w:t>
      </w:r>
    </w:p>
    <w:p w:rsidR="00CA09F2" w:rsidRDefault="0034427C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" w:name="Par76"/>
      <w:bookmarkEnd w:id="2"/>
      <w:r>
        <w:rPr>
          <w:bCs/>
          <w:sz w:val="28"/>
          <w:szCs w:val="28"/>
        </w:rPr>
        <w:t>16</w:t>
      </w:r>
      <w:r w:rsidR="00CA09F2">
        <w:rPr>
          <w:bCs/>
          <w:sz w:val="28"/>
          <w:szCs w:val="28"/>
        </w:rPr>
        <w:t>. Результаты аудиторской проверки оформляются актом аудиторской проверки.</w:t>
      </w:r>
    </w:p>
    <w:p w:rsidR="00CA09F2" w:rsidRDefault="0034427C" w:rsidP="00CA09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6025B">
        <w:rPr>
          <w:bCs/>
          <w:sz w:val="28"/>
          <w:szCs w:val="28"/>
        </w:rPr>
        <w:t>.  Уполномоченный аудитор</w:t>
      </w:r>
      <w:r w:rsidR="00CA09F2">
        <w:rPr>
          <w:bCs/>
          <w:sz w:val="28"/>
          <w:szCs w:val="28"/>
        </w:rPr>
        <w:t xml:space="preserve"> на основании акта аудиторской проверки составляет отчет о результатах аудиторской проверки в соответствии с Порядком составления и представления отчета о результатах аудиторской проверки согласно </w:t>
      </w:r>
      <w:hyperlink r:id="rId10" w:history="1">
        <w:r w:rsidR="00CA09F2" w:rsidRPr="0034427C">
          <w:rPr>
            <w:rStyle w:val="a6"/>
            <w:bCs/>
            <w:sz w:val="28"/>
            <w:szCs w:val="28"/>
            <w:u w:val="none"/>
          </w:rPr>
          <w:t>приложению</w:t>
        </w:r>
      </w:hyperlink>
      <w:r>
        <w:rPr>
          <w:bCs/>
          <w:sz w:val="28"/>
          <w:szCs w:val="28"/>
        </w:rPr>
        <w:t xml:space="preserve"> № 2</w:t>
      </w:r>
      <w:r w:rsidR="00CA09F2">
        <w:rPr>
          <w:bCs/>
          <w:sz w:val="28"/>
          <w:szCs w:val="28"/>
        </w:rPr>
        <w:t xml:space="preserve"> к настоящему Положению.</w:t>
      </w: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9F2" w:rsidRDefault="00CA09F2" w:rsidP="00CA09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1F" w:rsidRPr="005A191F" w:rsidRDefault="005A191F" w:rsidP="005A191F">
      <w:pPr>
        <w:rPr>
          <w:b/>
          <w:bCs/>
          <w:sz w:val="28"/>
          <w:szCs w:val="28"/>
        </w:rPr>
      </w:pPr>
    </w:p>
    <w:p w:rsidR="005A191F" w:rsidRPr="005A191F" w:rsidRDefault="005A191F" w:rsidP="005A191F">
      <w:pPr>
        <w:rPr>
          <w:bCs/>
          <w:sz w:val="28"/>
          <w:szCs w:val="28"/>
        </w:rPr>
      </w:pPr>
    </w:p>
    <w:p w:rsidR="000837F0" w:rsidRPr="000370E3" w:rsidRDefault="000837F0" w:rsidP="000837F0"/>
    <w:p w:rsidR="000837F0" w:rsidRPr="000370E3" w:rsidRDefault="000F5B84" w:rsidP="000F5B84">
      <w:r>
        <w:lastRenderedPageBreak/>
        <w:t xml:space="preserve"> </w:t>
      </w:r>
    </w:p>
    <w:p w:rsidR="00FA1AD6" w:rsidRDefault="00FA1AD6" w:rsidP="00FA1AD6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926E9C">
        <w:t>Приложение № 1</w:t>
      </w:r>
    </w:p>
    <w:p w:rsidR="00FA1AD6" w:rsidRDefault="00FA1AD6" w:rsidP="00FA1AD6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                                                к постановлению</w:t>
      </w:r>
    </w:p>
    <w:p w:rsidR="00FA1AD6" w:rsidRPr="00835B80" w:rsidRDefault="00FA1AD6" w:rsidP="00FA1A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A1AD6" w:rsidRPr="00926E9C" w:rsidRDefault="00FA1AD6" w:rsidP="00FA1AD6">
      <w:pPr>
        <w:autoSpaceDE w:val="0"/>
        <w:autoSpaceDN w:val="0"/>
        <w:adjustRightInd w:val="0"/>
        <w:jc w:val="right"/>
      </w:pPr>
    </w:p>
    <w:p w:rsidR="00FA1AD6" w:rsidRPr="00926E9C" w:rsidRDefault="00FA1AD6" w:rsidP="00FA1AD6">
      <w:pPr>
        <w:autoSpaceDE w:val="0"/>
        <w:autoSpaceDN w:val="0"/>
        <w:adjustRightInd w:val="0"/>
        <w:jc w:val="center"/>
      </w:pPr>
      <w:r w:rsidRPr="00926E9C">
        <w:t>ПЛАН</w:t>
      </w:r>
    </w:p>
    <w:p w:rsidR="00FA1AD6" w:rsidRPr="00926E9C" w:rsidRDefault="00FA1AD6" w:rsidP="00FA1AD6">
      <w:pPr>
        <w:autoSpaceDE w:val="0"/>
        <w:autoSpaceDN w:val="0"/>
        <w:adjustRightInd w:val="0"/>
        <w:jc w:val="center"/>
      </w:pPr>
      <w:r w:rsidRPr="00926E9C">
        <w:t>внутреннего финансового аудита</w:t>
      </w:r>
    </w:p>
    <w:p w:rsidR="00FA1AD6" w:rsidRPr="00926E9C" w:rsidRDefault="00FA1AD6" w:rsidP="00FA1AD6">
      <w:pPr>
        <w:autoSpaceDE w:val="0"/>
        <w:autoSpaceDN w:val="0"/>
        <w:adjustRightInd w:val="0"/>
        <w:jc w:val="center"/>
      </w:pPr>
      <w:r w:rsidRPr="00926E9C">
        <w:t>на 20__ год</w:t>
      </w:r>
    </w:p>
    <w:tbl>
      <w:tblPr>
        <w:tblW w:w="10350" w:type="dxa"/>
        <w:tblInd w:w="-3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3"/>
        <w:gridCol w:w="2126"/>
        <w:gridCol w:w="1474"/>
        <w:gridCol w:w="1077"/>
      </w:tblGrid>
      <w:tr w:rsidR="00FA1AD6" w:rsidRPr="00926E9C" w:rsidTr="00636EAF">
        <w:trPr>
          <w:trHeight w:val="217"/>
        </w:trPr>
        <w:tc>
          <w:tcPr>
            <w:tcW w:w="5673" w:type="dxa"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Коды</w:t>
            </w:r>
          </w:p>
        </w:tc>
      </w:tr>
      <w:tr w:rsidR="00FA1AD6" w:rsidRPr="00926E9C" w:rsidTr="00636EAF">
        <w:trPr>
          <w:trHeight w:val="181"/>
        </w:trPr>
        <w:tc>
          <w:tcPr>
            <w:tcW w:w="5673" w:type="dxa"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</w:tr>
      <w:tr w:rsidR="00FA1AD6" w:rsidRPr="00926E9C" w:rsidTr="00636EAF">
        <w:tc>
          <w:tcPr>
            <w:tcW w:w="5673" w:type="dxa"/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126" w:type="dxa"/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</w:tr>
      <w:tr w:rsidR="00FA1AD6" w:rsidRPr="00926E9C" w:rsidTr="00636EAF">
        <w:tc>
          <w:tcPr>
            <w:tcW w:w="5673" w:type="dxa"/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Субъект внутреннего финансового аудита</w:t>
            </w:r>
          </w:p>
        </w:tc>
        <w:tc>
          <w:tcPr>
            <w:tcW w:w="2126" w:type="dxa"/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</w:tr>
      <w:tr w:rsidR="00FA1AD6" w:rsidRPr="00926E9C" w:rsidTr="00636EAF">
        <w:tc>
          <w:tcPr>
            <w:tcW w:w="5673" w:type="dxa"/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Наименование бюджета</w:t>
            </w:r>
          </w:p>
        </w:tc>
        <w:tc>
          <w:tcPr>
            <w:tcW w:w="2126" w:type="dxa"/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 xml:space="preserve">по </w:t>
            </w:r>
            <w:hyperlink r:id="rId11" w:history="1">
              <w:r w:rsidRPr="00926E9C">
                <w:rPr>
                  <w:rStyle w:val="a6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</w:p>
        </w:tc>
      </w:tr>
    </w:tbl>
    <w:p w:rsidR="00FA1AD6" w:rsidRPr="00926E9C" w:rsidRDefault="00FA1AD6" w:rsidP="00FA1AD6">
      <w:pPr>
        <w:autoSpaceDE w:val="0"/>
        <w:autoSpaceDN w:val="0"/>
        <w:adjustRightInd w:val="0"/>
      </w:pPr>
    </w:p>
    <w:tbl>
      <w:tblPr>
        <w:tblW w:w="10350" w:type="dxa"/>
        <w:tblInd w:w="-3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993"/>
        <w:gridCol w:w="851"/>
        <w:gridCol w:w="2410"/>
        <w:gridCol w:w="1559"/>
        <w:gridCol w:w="1417"/>
        <w:gridCol w:w="1701"/>
      </w:tblGrid>
      <w:tr w:rsidR="00FA1AD6" w:rsidRPr="00926E9C" w:rsidTr="00636EAF">
        <w:trPr>
          <w:trHeight w:val="11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Тема аудиторской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Объекты аудита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Метод аудита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Вид аудиторской проверки (</w:t>
            </w:r>
            <w:proofErr w:type="gramStart"/>
            <w:r w:rsidRPr="00926E9C">
              <w:t>камеральная</w:t>
            </w:r>
            <w:proofErr w:type="gramEnd"/>
            <w:r w:rsidRPr="00926E9C">
              <w:t>, выездная, комбинированная)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Срок проведения аудиторской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</w:pPr>
            <w:r w:rsidRPr="00926E9C">
              <w:t>Ответственные исполнители</w:t>
            </w:r>
          </w:p>
        </w:tc>
      </w:tr>
      <w:tr w:rsidR="00FA1AD6" w:rsidRPr="00926E9C" w:rsidTr="00636E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center"/>
            </w:pPr>
            <w:r w:rsidRPr="00926E9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  <w:r w:rsidRPr="00926E9C">
              <w:t>6</w:t>
            </w:r>
          </w:p>
        </w:tc>
      </w:tr>
      <w:tr w:rsidR="00FA1AD6" w:rsidRPr="00926E9C" w:rsidTr="00636E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</w:tr>
      <w:tr w:rsidR="00FA1AD6" w:rsidRPr="00926E9C" w:rsidTr="00636E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6" w:rsidRPr="00926E9C" w:rsidRDefault="00FA1AD6" w:rsidP="00F86F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A1AD6" w:rsidRPr="00926E9C" w:rsidRDefault="00FA1AD6" w:rsidP="00FA1AD6">
      <w:pPr>
        <w:autoSpaceDE w:val="0"/>
        <w:autoSpaceDN w:val="0"/>
        <w:adjustRightInd w:val="0"/>
      </w:pPr>
    </w:p>
    <w:p w:rsidR="00FA1AD6" w:rsidRPr="00926E9C" w:rsidRDefault="00FA1AD6" w:rsidP="00FA1AD6">
      <w:pPr>
        <w:autoSpaceDE w:val="0"/>
        <w:autoSpaceDN w:val="0"/>
        <w:adjustRightInd w:val="0"/>
      </w:pPr>
      <w:r w:rsidRPr="00926E9C">
        <w:t xml:space="preserve">Уполномоченное лицо             _______________ _____________ _________________ </w:t>
      </w:r>
    </w:p>
    <w:p w:rsidR="00FA1AD6" w:rsidRPr="00926E9C" w:rsidRDefault="00FA1AD6" w:rsidP="00FA1AD6">
      <w:pPr>
        <w:autoSpaceDE w:val="0"/>
        <w:autoSpaceDN w:val="0"/>
        <w:adjustRightInd w:val="0"/>
      </w:pPr>
      <w:r w:rsidRPr="00926E9C">
        <w:t xml:space="preserve">                                                      (должность)           (подпись)        (расшифровка подписи)</w:t>
      </w:r>
    </w:p>
    <w:p w:rsidR="00FA1AD6" w:rsidRPr="00926E9C" w:rsidRDefault="00FA1AD6" w:rsidP="00FA1AD6">
      <w:pPr>
        <w:autoSpaceDE w:val="0"/>
        <w:autoSpaceDN w:val="0"/>
        <w:adjustRightInd w:val="0"/>
      </w:pPr>
    </w:p>
    <w:p w:rsidR="00FA1AD6" w:rsidRPr="00926E9C" w:rsidRDefault="00FA1AD6" w:rsidP="00FA1AD6">
      <w:pPr>
        <w:autoSpaceDE w:val="0"/>
        <w:autoSpaceDN w:val="0"/>
        <w:adjustRightInd w:val="0"/>
      </w:pPr>
      <w:r w:rsidRPr="00926E9C">
        <w:t>"__" __________ 20__ г.</w:t>
      </w:r>
    </w:p>
    <w:p w:rsidR="000F5B84" w:rsidRDefault="000F5B84" w:rsidP="000F5B84">
      <w:pPr>
        <w:sectPr w:rsidR="000F5B84" w:rsidSect="00157B62">
          <w:headerReference w:type="even" r:id="rId12"/>
          <w:headerReference w:type="default" r:id="rId13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C1094F" w:rsidRPr="00926E9C" w:rsidRDefault="00C1094F" w:rsidP="00C1094F">
      <w:pPr>
        <w:autoSpaceDE w:val="0"/>
        <w:autoSpaceDN w:val="0"/>
        <w:adjustRightInd w:val="0"/>
        <w:jc w:val="right"/>
      </w:pPr>
      <w:r w:rsidRPr="00926E9C">
        <w:lastRenderedPageBreak/>
        <w:t xml:space="preserve">Приложение № </w:t>
      </w:r>
      <w:r w:rsidR="00636EAF">
        <w:t>2</w:t>
      </w:r>
    </w:p>
    <w:p w:rsidR="00C87CBC" w:rsidRPr="000370E3" w:rsidRDefault="00C1094F" w:rsidP="00C87CBC">
      <w:r>
        <w:t xml:space="preserve">                                                                                                                                        к постановлению</w:t>
      </w:r>
    </w:p>
    <w:p w:rsidR="00C87CBC" w:rsidRPr="000370E3" w:rsidRDefault="00C87CBC" w:rsidP="00C87CBC"/>
    <w:p w:rsidR="00C1094F" w:rsidRPr="002D6741" w:rsidRDefault="00C1094F" w:rsidP="00C109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094F" w:rsidRPr="002D6741" w:rsidRDefault="00C1094F" w:rsidP="00C10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6741">
        <w:rPr>
          <w:bCs/>
          <w:sz w:val="28"/>
          <w:szCs w:val="28"/>
        </w:rPr>
        <w:t>ПОРЯДОК</w:t>
      </w:r>
    </w:p>
    <w:p w:rsidR="00C1094F" w:rsidRPr="002D6741" w:rsidRDefault="00C1094F" w:rsidP="00C10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6741">
        <w:rPr>
          <w:sz w:val="28"/>
          <w:szCs w:val="28"/>
        </w:rPr>
        <w:t>составления и представления отчета</w:t>
      </w:r>
    </w:p>
    <w:p w:rsidR="00C1094F" w:rsidRPr="002D6741" w:rsidRDefault="00C1094F" w:rsidP="00C10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6741">
        <w:rPr>
          <w:sz w:val="28"/>
          <w:szCs w:val="28"/>
        </w:rPr>
        <w:t>о результатах аудиторской проверки</w:t>
      </w:r>
    </w:p>
    <w:p w:rsidR="00C1094F" w:rsidRPr="002D6741" w:rsidRDefault="00C1094F" w:rsidP="00C10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 xml:space="preserve">1. Отчет о результатах аудиторской проверки (далее - Отчет) составляется на основании акта аудиторской проверки, с учетом письменных возражений объекта проверки на акт аудиторской проверки по форме согласно приложению к настоящему Порядку. 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2. Отчет составляется уполномоченным должностным лицом (проверяющим), наделенным полномочиями по осуществлению внутреннего финансового аудита, назначенным распоряжением Гла</w:t>
      </w:r>
      <w:r>
        <w:rPr>
          <w:sz w:val="28"/>
          <w:szCs w:val="28"/>
        </w:rPr>
        <w:t>вой Тюльганского поссовета Тюльганского района Оренбургской области</w:t>
      </w:r>
      <w:r w:rsidRPr="002D6741">
        <w:rPr>
          <w:sz w:val="28"/>
          <w:szCs w:val="28"/>
        </w:rPr>
        <w:t>, не позднее 15 рабочих дней после подписания руководителем объекта внутреннего финансового аудита (уполномоченным им лицом) акта аудиторской проверки.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При наличии замечаний и возражений (далее - замечания) у руководителя объекта внутреннего финансового аудита (уполномоченного им лица) по акту аудиторской проверки Отчет составляется не позднее 15 рабочих дней после направления проверяющим объекту внутреннего финансового аудита письменного заключения на замечания.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3. Выводы о степени надежности внутреннего финансового контроля, осуществляемого объектом внутреннего финансового аудита, и достоверности его бюджетной отчетности основываются на результатах аудиторской проверки, отражающих: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- наличие (отсутствие) операций бюджетных процедур, в отношении которых контрольные действия не осуществлялись, с указанием обоснований отсутствия такого контроля;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- наличие (отсутствие) контрольных действий, выполненных более чем один раз и не имеющих результатов контроля;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- наличие (отсутствие) излишних операций при исполнении бюджетной процедуры и (или) излишних применяемых контрольных действий;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- наличие (отсутствие) контрольных действий внутреннего финансового контроля, которые не в полной мере охватывают финансово-хозяйственные операции в связи с неполным определением перечня операций бюджетной процедуры и (или) недостатками в процедуре оценки бюджетных рисков.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 xml:space="preserve">- наличие (отсутствие) значимых бюджетных рисков, которые не устранены в ходе процедур 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4. Выводы о соответствии ведения бюджетного учета объектами аудита методологии и стандартам бюджетного учета, достоверности и полноте сводной бюджетной отчетности главного администратора бюджетных средств основываются на следующих результатах аудиторской проверки, отражающих: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lastRenderedPageBreak/>
        <w:t>наличие (отсутствие) обстоятельств, которые оказывают или могут оказать существенное влияние на достоверность сводной бюджетной отчетности, в том числе степень надежности внутреннего финансового контроля получателей бюджетных средств совершаемых ими фактов хозяйственной жизни, ведения бюджетного учета и составления бюджетной отчетности;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подтверждение полноты и достоверности показателей сводной бюджетной отчетности;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6741">
        <w:rPr>
          <w:sz w:val="28"/>
          <w:szCs w:val="28"/>
        </w:rPr>
        <w:t>оценку актуальности и обоснованности учетной политики, принятой объектами аудита, неправомерные действия которых в части ведения бюджетного учета и составления бюджетной отчетности могут привести к существенным искажениям сводной бюджетной.</w:t>
      </w:r>
      <w:proofErr w:type="gramEnd"/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 xml:space="preserve">5. Отчет о результатах аудиторской проверки (далее - отчет) с приложением акта аудиторской проверки, возражений к акту аудиторской проверки (при наличии) и проекта решения (распоряжения) по результатам рассмотрения Отчета направляется Главе </w:t>
      </w:r>
      <w:r>
        <w:rPr>
          <w:sz w:val="28"/>
          <w:szCs w:val="28"/>
        </w:rPr>
        <w:t>Тюльганского поссовета</w:t>
      </w:r>
      <w:r w:rsidRPr="002D6741">
        <w:rPr>
          <w:sz w:val="28"/>
          <w:szCs w:val="28"/>
        </w:rPr>
        <w:t xml:space="preserve"> не позднее 30 дней со дня окончания срока ее проведения.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 xml:space="preserve">6. По результатам рассмотрения отчета Глава </w:t>
      </w:r>
      <w:r>
        <w:rPr>
          <w:sz w:val="28"/>
          <w:szCs w:val="28"/>
        </w:rPr>
        <w:t xml:space="preserve">Тюльганского поссовета </w:t>
      </w:r>
      <w:r w:rsidRPr="002D6741">
        <w:rPr>
          <w:sz w:val="28"/>
          <w:szCs w:val="28"/>
        </w:rPr>
        <w:t xml:space="preserve"> вправе принять одно или несколько решений: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1) о необходимости реализац</w:t>
      </w:r>
      <w:proofErr w:type="gramStart"/>
      <w:r w:rsidRPr="002D6741">
        <w:rPr>
          <w:sz w:val="28"/>
          <w:szCs w:val="28"/>
        </w:rPr>
        <w:t>ии ау</w:t>
      </w:r>
      <w:proofErr w:type="gramEnd"/>
      <w:r w:rsidRPr="002D6741">
        <w:rPr>
          <w:sz w:val="28"/>
          <w:szCs w:val="28"/>
        </w:rPr>
        <w:t>диторских выводов, предложений и рекомендаций;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2) о недостаточной обоснованности аудиторских выводов, предложений и рекомендаций;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3) о применении материальной и (или) дисциплинарной ответственности к виновным должностным лицам;</w:t>
      </w:r>
    </w:p>
    <w:p w:rsidR="00C1094F" w:rsidRPr="002D6741" w:rsidRDefault="00C1094F" w:rsidP="00C1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4)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C1094F" w:rsidRPr="002D6741" w:rsidRDefault="00C1094F" w:rsidP="00C10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741">
        <w:rPr>
          <w:rFonts w:ascii="Times New Roman" w:hAnsi="Times New Roman" w:cs="Times New Roman"/>
          <w:sz w:val="28"/>
          <w:szCs w:val="28"/>
        </w:rPr>
        <w:t xml:space="preserve">При принятии Главой </w:t>
      </w:r>
      <w:r>
        <w:rPr>
          <w:rFonts w:ascii="Times New Roman" w:hAnsi="Times New Roman" w:cs="Times New Roman"/>
          <w:sz w:val="28"/>
          <w:szCs w:val="28"/>
        </w:rPr>
        <w:t xml:space="preserve">Тюльганского поссовета </w:t>
      </w:r>
      <w:r w:rsidRPr="002D6741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2D6741">
        <w:rPr>
          <w:rFonts w:ascii="Times New Roman" w:hAnsi="Times New Roman" w:cs="Times New Roman"/>
          <w:sz w:val="28"/>
          <w:szCs w:val="28"/>
        </w:rPr>
        <w:t>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 его выполнения.</w:t>
      </w:r>
    </w:p>
    <w:p w:rsidR="00C1094F" w:rsidRPr="002D6741" w:rsidRDefault="00C1094F" w:rsidP="00C109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7. Субъект внутреннего финансового аудита проводит мониторинг выполнения плана по устранению выявленных по результатам аудиторских проверок недостатков и нарушений, включающий следующие процедуры:</w:t>
      </w:r>
    </w:p>
    <w:p w:rsidR="00C1094F" w:rsidRPr="002D6741" w:rsidRDefault="00C1094F" w:rsidP="00C109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получение от объектов аудита информации о выполнении вышеуказанного плана и ее анализ, включая анализ причин невыполнения указанных планов;</w:t>
      </w:r>
    </w:p>
    <w:p w:rsidR="00C1094F" w:rsidRPr="002D6741" w:rsidRDefault="00C1094F" w:rsidP="00C109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741">
        <w:rPr>
          <w:sz w:val="28"/>
          <w:szCs w:val="28"/>
        </w:rPr>
        <w:t>оценка действий объектов аудита по устранению выявленных недостатков, совершенствованию внутреннего финансового контроля, в том числе путем проведения дополнительных в</w:t>
      </w:r>
      <w:r>
        <w:rPr>
          <w:sz w:val="28"/>
          <w:szCs w:val="28"/>
        </w:rPr>
        <w:t>неплановых аудиторских проверок.</w:t>
      </w:r>
    </w:p>
    <w:p w:rsidR="00C87CBC" w:rsidRDefault="00C87CBC" w:rsidP="00C1094F">
      <w:pPr>
        <w:jc w:val="both"/>
        <w:rPr>
          <w:sz w:val="28"/>
          <w:szCs w:val="28"/>
        </w:rPr>
      </w:pPr>
    </w:p>
    <w:p w:rsidR="00C87CBC" w:rsidRDefault="00C87CBC" w:rsidP="00C87CBC">
      <w:pPr>
        <w:shd w:val="clear" w:color="auto" w:fill="FFFFFF"/>
        <w:ind w:right="2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bookmarkStart w:id="3" w:name="_GoBack"/>
      <w:bookmarkEnd w:id="3"/>
    </w:p>
    <w:sectPr w:rsidR="00C87CBC" w:rsidSect="00C1094F"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5D" w:rsidRDefault="00FD525D">
      <w:r>
        <w:separator/>
      </w:r>
    </w:p>
  </w:endnote>
  <w:endnote w:type="continuationSeparator" w:id="0">
    <w:p w:rsidR="00FD525D" w:rsidRDefault="00FD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5D" w:rsidRDefault="00FD525D">
      <w:r>
        <w:separator/>
      </w:r>
    </w:p>
  </w:footnote>
  <w:footnote w:type="continuationSeparator" w:id="0">
    <w:p w:rsidR="00FD525D" w:rsidRDefault="00FD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5D" w:rsidRDefault="00735C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2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25D" w:rsidRDefault="00FD5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5D" w:rsidRDefault="00735C7D" w:rsidP="00157B6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FD52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EAF">
      <w:rPr>
        <w:rStyle w:val="a5"/>
        <w:noProof/>
      </w:rPr>
      <w:t>8</w:t>
    </w:r>
    <w:r>
      <w:rPr>
        <w:rStyle w:val="a5"/>
      </w:rPr>
      <w:fldChar w:fldCharType="end"/>
    </w:r>
  </w:p>
  <w:p w:rsidR="00FD525D" w:rsidRDefault="00FD525D" w:rsidP="00157B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D390523"/>
    <w:multiLevelType w:val="multilevel"/>
    <w:tmpl w:val="911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837F0"/>
    <w:rsid w:val="00087706"/>
    <w:rsid w:val="000C593B"/>
    <w:rsid w:val="000E7D76"/>
    <w:rsid w:val="000F5B84"/>
    <w:rsid w:val="00157B62"/>
    <w:rsid w:val="001D00D4"/>
    <w:rsid w:val="002323D4"/>
    <w:rsid w:val="00265D0B"/>
    <w:rsid w:val="00270897"/>
    <w:rsid w:val="002C0E33"/>
    <w:rsid w:val="00310D9A"/>
    <w:rsid w:val="00310DE1"/>
    <w:rsid w:val="0034427C"/>
    <w:rsid w:val="003530AF"/>
    <w:rsid w:val="00362AEE"/>
    <w:rsid w:val="003822DB"/>
    <w:rsid w:val="00392732"/>
    <w:rsid w:val="00397792"/>
    <w:rsid w:val="004E3936"/>
    <w:rsid w:val="00543790"/>
    <w:rsid w:val="005A191F"/>
    <w:rsid w:val="005F5938"/>
    <w:rsid w:val="00636EAF"/>
    <w:rsid w:val="00642E16"/>
    <w:rsid w:val="00650D7B"/>
    <w:rsid w:val="00717B33"/>
    <w:rsid w:val="00735C7D"/>
    <w:rsid w:val="007923DF"/>
    <w:rsid w:val="007C2AF6"/>
    <w:rsid w:val="008548B0"/>
    <w:rsid w:val="008711EF"/>
    <w:rsid w:val="00896B05"/>
    <w:rsid w:val="008E1BBE"/>
    <w:rsid w:val="00922B8D"/>
    <w:rsid w:val="00942EAE"/>
    <w:rsid w:val="009432C9"/>
    <w:rsid w:val="00A625D0"/>
    <w:rsid w:val="00B2732C"/>
    <w:rsid w:val="00BF03C5"/>
    <w:rsid w:val="00C1094F"/>
    <w:rsid w:val="00C6025B"/>
    <w:rsid w:val="00C87CBC"/>
    <w:rsid w:val="00CA09F2"/>
    <w:rsid w:val="00CA24F0"/>
    <w:rsid w:val="00CF712B"/>
    <w:rsid w:val="00D43BB6"/>
    <w:rsid w:val="00D53FB4"/>
    <w:rsid w:val="00DA25B9"/>
    <w:rsid w:val="00EE71BE"/>
    <w:rsid w:val="00F52671"/>
    <w:rsid w:val="00F93F70"/>
    <w:rsid w:val="00FA1AD6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Balloon Text"/>
    <w:basedOn w:val="a"/>
    <w:semiHidden/>
    <w:rsid w:val="001D00D4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0F5B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0F5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бычный (веб) Знак"/>
    <w:aliases w:val="Обычный (Web) Знак,Знак Знак10 Знак"/>
    <w:link w:val="ab"/>
    <w:semiHidden/>
    <w:locked/>
    <w:rsid w:val="00CA09F2"/>
    <w:rPr>
      <w:rFonts w:ascii="Helvetica" w:eastAsia="Times New Roman" w:hAnsi="Helvetica"/>
      <w:color w:val="000000"/>
    </w:rPr>
  </w:style>
  <w:style w:type="paragraph" w:styleId="ab">
    <w:name w:val="Normal (Web)"/>
    <w:aliases w:val="Обычный (Web),Знак Знак10"/>
    <w:basedOn w:val="a"/>
    <w:link w:val="aa"/>
    <w:semiHidden/>
    <w:unhideWhenUsed/>
    <w:qFormat/>
    <w:rsid w:val="00CA09F2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rmal">
    <w:name w:val="ConsPlusNormal"/>
    <w:link w:val="ConsPlusNormal0"/>
    <w:qFormat/>
    <w:rsid w:val="00FA1A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1AD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Balloon Text"/>
    <w:basedOn w:val="a"/>
    <w:semiHidden/>
    <w:rsid w:val="001D00D4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0F5B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0F5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бычный (веб) Знак"/>
    <w:aliases w:val="Обычный (Web) Знак,Знак Знак10 Знак"/>
    <w:link w:val="ab"/>
    <w:semiHidden/>
    <w:locked/>
    <w:rsid w:val="00CA09F2"/>
    <w:rPr>
      <w:rFonts w:ascii="Helvetica" w:eastAsia="Times New Roman" w:hAnsi="Helvetica"/>
      <w:color w:val="000000"/>
    </w:rPr>
  </w:style>
  <w:style w:type="paragraph" w:styleId="ab">
    <w:name w:val="Normal (Web)"/>
    <w:aliases w:val="Обычный (Web),Знак Знак10"/>
    <w:basedOn w:val="a"/>
    <w:link w:val="aa"/>
    <w:semiHidden/>
    <w:unhideWhenUsed/>
    <w:qFormat/>
    <w:rsid w:val="00CA09F2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rmal">
    <w:name w:val="ConsPlusNormal"/>
    <w:link w:val="ConsPlusNormal0"/>
    <w:qFormat/>
    <w:rsid w:val="00FA1A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1AD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AF4459C0FE453B9AF454A9F406BFCE0F59B1DF2F158EEF8B2718D9D0G0a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A6FA74A50E718E896531E72E8AA562FA373BD7EC1EDF667BD716ED2D9D3612CCF2EE13PA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6FA74A50E718E896531E72E8AA562FA373BD7EC1EDF667BD716ED2D9D3612CCF2EE1AA7409BAFP5I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2021-08-17T10:10:00Z</cp:lastPrinted>
  <dcterms:created xsi:type="dcterms:W3CDTF">2021-08-17T10:10:00Z</dcterms:created>
  <dcterms:modified xsi:type="dcterms:W3CDTF">2021-08-17T10:10:00Z</dcterms:modified>
</cp:coreProperties>
</file>